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La transizione ecologica nella mobilit</w:t>
      </w:r>
      <w:r>
        <w:rPr>
          <w:b w:val="1"/>
          <w:b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b w:val="1"/>
          <w:bCs w:val="1"/>
          <w:outline w:val="0"/>
          <w:color w:val="000000"/>
          <w:sz w:val="32"/>
          <w:szCs w:val="3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al centro della seconda giornata di Next Generation Mobility</w:t>
      </w:r>
    </w:p>
    <w:p>
      <w:pPr>
        <w:pStyle w:val="Normal.0"/>
        <w:jc w:val="center"/>
        <w:rPr>
          <w:b w:val="1"/>
          <w:bCs w:val="1"/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Seconda giornata di Next Generation Mobility, l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evento sulle tematiche pi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rilevanti della mobilit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urbana e delle merci in programma dal 3 al 5 maggio al Museo Nazionale dell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Auto di Torino. I temi: policy, digitalizzazione, trasporto pubblico locale, logistica distributiva ed energia. </w:t>
      </w:r>
    </w:p>
    <w:p>
      <w:pPr>
        <w:pStyle w:val="Normal.0"/>
        <w:jc w:val="center"/>
        <w:rPr>
          <w:i w:val="1"/>
          <w:i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b w:val="1"/>
          <w:bCs w:val="1"/>
        </w:rPr>
      </w:pP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Torino, 4 maggio 2022 </w:t>
      </w:r>
      <w:r>
        <w:rPr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punto focale di oggi a Next Generation Mobility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stata la transizione ecologica. I lavori, che si stanno per concludere, si sono in larga parte soffermati sulle relazioni di chiusura dell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b w:val="1"/>
          <w:bCs w:val="1"/>
          <w:rtl w:val="0"/>
          <w:lang w:val="it-IT"/>
        </w:rPr>
        <w:t>Interreg Alpine Space e-Smart,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il progetto </w:t>
      </w:r>
      <w:r>
        <w:rPr>
          <w:rStyle w:val="Nessuno A"/>
          <w:rtl w:val="0"/>
          <w:lang w:val="it-IT"/>
        </w:rPr>
        <w:t>transnazionale</w:t>
      </w:r>
      <w:r>
        <w:rPr>
          <w:b w:val="1"/>
          <w:bCs w:val="1"/>
          <w:rtl w:val="0"/>
          <w:lang w:val="it-IT"/>
        </w:rPr>
        <w:t xml:space="preserve"> </w:t>
      </w:r>
      <w:r>
        <w:rPr>
          <w:rStyle w:val="Nessuno A"/>
          <w:rtl w:val="0"/>
          <w:lang w:val="it-IT"/>
        </w:rPr>
        <w:t>pubblico/privato per lo sviluppo dei servizi di e-mobilit</w:t>
      </w:r>
      <w:r>
        <w:rPr>
          <w:rStyle w:val="Nessuno A"/>
          <w:rtl w:val="0"/>
          <w:lang w:val="it-IT"/>
        </w:rPr>
        <w:t xml:space="preserve">à </w:t>
      </w:r>
      <w:r>
        <w:rPr>
          <w:rStyle w:val="Nessuno A"/>
          <w:rtl w:val="0"/>
          <w:lang w:val="it-IT"/>
        </w:rPr>
        <w:t>con un approccio integrato alla pianificazione delle infrastrutture di ricarica dei veicoli elettrici</w:t>
      </w:r>
      <w:r>
        <w:rPr>
          <w:b w:val="1"/>
          <w:bCs w:val="1"/>
          <w:rtl w:val="0"/>
          <w:lang w:val="it-IT"/>
        </w:rPr>
        <w:t xml:space="preserve">.  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Uno dei principali ostacoli all'introduzione su larga scala di veicoli a zero emissioni nel trasporto pubblico locale (TPL) e nella logistica distributiva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 gestione smart dell'infrastruttura di rete di ricarica per evitare picchi di carico a discapito della rete elettrica. 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richiede standard e norme condivise per testare e validare i sistemi di scambio energetico, garantire stabilit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della rete e la ricarica dinamica attraverso modelli di comunicazione uniformi. Il progetto Interreg Alpine Space e-SMART mira a raggiungere tale obiettivo 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progetto ha sviluppato e testato strumenti operativi per pianificare le infrastrutture e i servizi di mobilit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elettrica per i passeggeri e per il trasporto di merci: uno Smart Energy Toolkit.  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 giornata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proseguita con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intervento di </w:t>
      </w:r>
      <w:r>
        <w:rPr>
          <w:b w:val="1"/>
          <w:bCs w:val="1"/>
          <w:rtl w:val="0"/>
          <w:lang w:val="it-IT"/>
        </w:rPr>
        <w:t>Fabrizio Arena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di </w:t>
      </w:r>
      <w:r>
        <w:rPr>
          <w:b w:val="1"/>
          <w:bCs w:val="1"/>
          <w:rtl w:val="0"/>
          <w:lang w:val="it-IT"/>
        </w:rPr>
        <w:t>BIP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societ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di consulenza italiana e presente in tutto il mondo, Arena ha presentato </w:t>
      </w:r>
      <w:r>
        <w:rPr>
          <w:rStyle w:val="Nessuno A"/>
          <w:rtl w:val="0"/>
          <w:lang w:val="it-IT"/>
        </w:rPr>
        <w:t xml:space="preserve">uno studio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che evidenzia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esigenze di sviluppo della infrastruttura di ricarica necessari per sostenere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obiettivo nazionale di 6 milioni automobili elettriche in circolazione nel 2030. </w:t>
      </w:r>
      <w:r>
        <w:rPr>
          <w:b w:val="1"/>
          <w:bCs w:val="1"/>
          <w:rtl w:val="0"/>
          <w:lang w:val="it-IT"/>
        </w:rPr>
        <w:t>Alessandro Di</w:t>
      </w:r>
      <w:r>
        <w:rPr>
          <w:b w:val="1"/>
          <w:bCs w:val="1"/>
          <w:rtl w:val="0"/>
          <w:lang w:val="it-IT"/>
        </w:rPr>
        <w:t>s</w:t>
      </w:r>
      <w:r>
        <w:rPr>
          <w:b w:val="1"/>
          <w:bCs w:val="1"/>
          <w:rtl w:val="0"/>
          <w:lang w:val="it-IT"/>
        </w:rPr>
        <w:t>tefano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partner di </w:t>
      </w:r>
      <w:r>
        <w:rPr>
          <w:b w:val="1"/>
          <w:bCs w:val="1"/>
          <w:rtl w:val="0"/>
          <w:lang w:val="it-IT"/>
        </w:rPr>
        <w:t>PwC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ha esaminato i diversi modi in cui la digitalizzazione sia un fattore chiave per rispondere alle nuove esigenze di mobilit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soprattutto nel trasporto pubblico locale. </w:t>
      </w:r>
      <w:r>
        <w:rPr>
          <w:rtl w:val="0"/>
          <w:lang w:val="it-IT"/>
        </w:rPr>
        <w:t xml:space="preserve">La digitalizzazione,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cruciale per la sostenibilit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del servizio: pu</w:t>
      </w:r>
      <w:r>
        <w:rPr>
          <w:rtl w:val="0"/>
          <w:lang w:val="it-IT"/>
        </w:rPr>
        <w:t xml:space="preserve">ò </w:t>
      </w:r>
      <w:r>
        <w:rPr>
          <w:rtl w:val="0"/>
          <w:lang w:val="it-IT"/>
        </w:rPr>
        <w:t>e deve abilitare una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nuovo approccio alla programmazione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offerta di trasporto e dei servizi di mobilit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pu</w:t>
      </w:r>
      <w:r>
        <w:rPr>
          <w:rtl w:val="0"/>
          <w:lang w:val="it-IT"/>
        </w:rPr>
        <w:t>ò’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supportare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i processi di gestione della capacit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mezzi e infrastrutture, puoi garantire la lettura in tempo reale degli impatti sul servizio.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i w:val="1"/>
          <w:i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rtl w:val="0"/>
          <w:lang w:val="it-IT"/>
        </w:rPr>
        <w:t>Giorgio Zino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Business Director Europe di </w:t>
      </w:r>
      <w:r>
        <w:rPr>
          <w:b w:val="1"/>
          <w:bCs w:val="1"/>
          <w:rtl w:val="0"/>
          <w:lang w:val="it-IT"/>
        </w:rPr>
        <w:t>IVECO Bus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ha brillantemente esposto, attraverso la propria </w:t>
      </w:r>
      <w:r>
        <w:rPr>
          <w:i w:val="1"/>
          <w:iCs w:val="1"/>
          <w:rtl w:val="0"/>
          <w:lang w:val="it-IT"/>
        </w:rPr>
        <w:t>case history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aziendale, la complessit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della transizione in ambito di Tpl gommato. Dal full electric con pantografo (i filobus) alle propulsioni ibride, sino alle celle a combustibile, ad ogni esigenza di utilizzo e di motore dovranno corrispondere soluzioni di ricarica specifiche.</w:t>
      </w: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Infine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idrogeno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stato il protagonista della chiusura di giornata di NGM. </w:t>
      </w:r>
      <w:r>
        <w:rPr>
          <w:b w:val="1"/>
          <w:bCs w:val="1"/>
          <w:rtl w:val="0"/>
          <w:lang w:val="it-IT"/>
        </w:rPr>
        <w:t>Federico Brivio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di </w:t>
      </w:r>
      <w:r>
        <w:rPr>
          <w:b w:val="1"/>
          <w:bCs w:val="1"/>
          <w:rtl w:val="0"/>
          <w:lang w:val="it-IT"/>
        </w:rPr>
        <w:t>Bosch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ha spiegato in quali settori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elettrico a celle a combustibile abbia numerose chance di adozione e successo. I due parametri fondamentali in questo momento sono autonomie molto estese e carico utile elevato. 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Domani l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ultima giornata di NGM con due temi forti, la connessione e automazione dei veicoli e la mobilit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leggera.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L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evento nasce da una partnership consolidata: Clickutility Team, che da oltre 15 anni organizza convegni in ambito mobilit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 xml:space="preserve">e smart city, e Studio Comelli, che da sempre si occupa di progettare contenuti di eventi e agende scientifiche e di media relations. </w:t>
      </w: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Normal.0"/>
        <w:jc w:val="both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Maggiori informazioni sull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Fonts w:ascii="Arial" w:hAnsi="Arial"/>
          <w:i w:val="1"/>
          <w:iCs w:val="1"/>
          <w:sz w:val="22"/>
          <w:szCs w:val="22"/>
          <w:rtl w:val="0"/>
          <w:lang w:val="it-IT"/>
        </w:rPr>
        <w:t>evento sul sito: www.ngmobility.it</w:t>
      </w:r>
    </w:p>
    <w:p>
      <w:pPr>
        <w:pStyle w:val="Normal.0"/>
        <w:rPr>
          <w:rFonts w:ascii="Arial" w:cs="Arial" w:hAnsi="Arial" w:eastAsia="Arial"/>
          <w:b w:val="1"/>
          <w:bCs w:val="1"/>
          <w:i w:val="1"/>
          <w:iCs w:val="1"/>
          <w:sz w:val="16"/>
          <w:szCs w:val="16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UFFICIO STAMPA E MEDIA RELATIONS</w:t>
      </w:r>
    </w:p>
    <w:p>
      <w:pPr>
        <w:pStyle w:val="Normal.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 xml:space="preserve">Studio Comelli 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  <w:lang w:val="it-IT"/>
        </w:rPr>
        <w:t>Conferences&amp;Communication</w:t>
      </w:r>
    </w:p>
    <w:p>
      <w:pPr>
        <w:pStyle w:val="Normal.0"/>
        <w:rPr>
          <w:rStyle w:val="Nessuno"/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Aurora Marin -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"mailto:aurora@studiocomelli.eu"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aurora@studiocomelli.eu</w:t>
      </w:r>
      <w:r>
        <w:rPr/>
        <w:fldChar w:fldCharType="end" w:fldLock="0"/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 xml:space="preserve"> –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347 1722820</w:t>
      </w:r>
    </w:p>
    <w:p>
      <w:pPr>
        <w:pStyle w:val="Normal.0"/>
        <w:rPr>
          <w:rStyle w:val="Nessuno"/>
          <w:rFonts w:ascii="Arial" w:cs="Arial" w:hAnsi="Arial" w:eastAsia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  <w:rtl w:val="0"/>
          <w:lang w:val="it-IT"/>
        </w:rPr>
        <w:t xml:space="preserve">Salvatore Bruno -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"mailto:s.bruno@urlaaa.it"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s.bruno@urlaaa.it</w:t>
      </w:r>
      <w:r>
        <w:rPr/>
        <w:fldChar w:fldCharType="end" w:fldLock="0"/>
      </w:r>
      <w:r>
        <w:rPr>
          <w:rStyle w:val="Nessuno"/>
          <w:rFonts w:ascii="Arial" w:hAnsi="Arial" w:hint="default"/>
          <w:sz w:val="20"/>
          <w:szCs w:val="20"/>
          <w:rtl w:val="0"/>
          <w:lang w:val="it-IT"/>
        </w:rPr>
        <w:t xml:space="preserve"> – </w:t>
      </w:r>
      <w:r>
        <w:rPr>
          <w:rStyle w:val="Nessuno"/>
          <w:rFonts w:ascii="Arial" w:hAnsi="Arial"/>
          <w:sz w:val="20"/>
          <w:szCs w:val="20"/>
          <w:rtl w:val="0"/>
          <w:lang w:val="it-IT"/>
        </w:rPr>
        <w:t>335 398913</w:t>
      </w:r>
    </w:p>
    <w:p>
      <w:pPr>
        <w:pStyle w:val="Normal.0"/>
        <w:rPr>
          <w:rStyle w:val="Nessuno"/>
          <w:rFonts w:ascii="Arial" w:cs="Arial" w:hAnsi="Arial" w:eastAsia="Arial"/>
          <w:sz w:val="20"/>
          <w:szCs w:val="2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Style w:val="Nessuno"/>
          <w:sz w:val="22"/>
          <w:szCs w:val="22"/>
          <w:rtl w:val="0"/>
        </w:rPr>
      </w:pP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sz w:val="26"/>
          <w:szCs w:val="26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2552" w:right="701" w:bottom="1701" w:left="1134" w:header="284" w:footer="55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Arial Narrow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spacing w:after="120"/>
      <w:jc w:val="center"/>
      <w:rPr>
        <w:b w:val="1"/>
        <w:bCs w:val="1"/>
        <w:outline w:val="0"/>
        <w:color w:val="1e3b87"/>
        <w:u w:color="1e3b87"/>
        <w14:textFill>
          <w14:solidFill>
            <w14:srgbClr w14:val="1E3B87"/>
          </w14:solidFill>
        </w14:textFill>
      </w:rPr>
    </w:pPr>
  </w:p>
  <w:p>
    <w:pPr>
      <w:pStyle w:val="footer"/>
      <w:spacing w:after="120"/>
      <w:jc w:val="center"/>
      <w:rPr>
        <w:b w:val="1"/>
        <w:bCs w:val="1"/>
        <w:outline w:val="0"/>
        <w:color w:val="1e3b87"/>
        <w:u w:color="1e3b87"/>
        <w14:textFill>
          <w14:solidFill>
            <w14:srgbClr w14:val="1E3B87"/>
          </w14:solidFill>
        </w14:textFill>
      </w:rPr>
    </w:pPr>
    <w:r>
      <w:rPr>
        <w:b w:val="1"/>
        <w:bCs w:val="1"/>
        <w:outline w:val="0"/>
        <w:color w:val="1e3b87"/>
        <w:u w:color="1e3b87"/>
        <w:rtl w:val="0"/>
        <w:lang w:val="it-IT"/>
        <w14:textFill>
          <w14:solidFill>
            <w14:srgbClr w14:val="1E3B87"/>
          </w14:solidFill>
        </w14:textFill>
      </w:rPr>
      <w:t>ORGANIZZATO DA</w:t>
    </w:r>
  </w:p>
  <w:p>
    <w:pPr>
      <w:pStyle w:val="footer"/>
      <w:jc w:val="center"/>
    </w:pPr>
    <w:r>
      <w:rPr>
        <w:rStyle w:val="Nessuno A"/>
      </w:rPr>
      <w:drawing xmlns:a="http://schemas.openxmlformats.org/drawingml/2006/main">
        <wp:inline distT="0" distB="0" distL="0" distR="0">
          <wp:extent cx="1210808" cy="288002"/>
          <wp:effectExtent l="0" t="0" r="0" b="0"/>
          <wp:docPr id="1073741827" name="officeArt object" descr="Immagin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29" descr="Immagine 29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808" cy="2880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 A"/>
        <w:rtl w:val="0"/>
        <w:lang w:val="it-IT"/>
      </w:rPr>
      <w:t xml:space="preserve">               </w:t>
    </w:r>
    <w:r>
      <w:rPr>
        <w:rStyle w:val="Nessuno A"/>
      </w:rPr>
      <w:drawing xmlns:a="http://schemas.openxmlformats.org/drawingml/2006/main">
        <wp:inline distT="0" distB="0" distL="0" distR="0">
          <wp:extent cx="1111815" cy="288002"/>
          <wp:effectExtent l="0" t="0" r="0" b="0"/>
          <wp:docPr id="1073741828" name="officeArt object" descr="Immagin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magine 30" descr="Immagine 3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15" cy="2880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-3416617</wp:posOffset>
              </wp:positionH>
              <wp:positionV relativeFrom="page">
                <wp:posOffset>4949825</wp:posOffset>
              </wp:positionV>
              <wp:extent cx="7341235" cy="472441"/>
              <wp:effectExtent l="0" t="0" r="0" b="0"/>
              <wp:wrapNone/>
              <wp:docPr id="1073741825" name="officeArt object" descr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7341235" cy="47244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outline w:val="0"/>
                              <w:color w:val="1f497d"/>
                              <w:sz w:val="52"/>
                              <w:szCs w:val="52"/>
                              <w:u w:color="1f497d"/>
                              <w:rtl w:val="0"/>
                              <w:lang w:val="it-IT"/>
                              <w14:textFill>
                                <w14:solidFill>
                                  <w14:srgbClr w14:val="1F497D"/>
                                </w14:solidFill>
                              </w14:textFill>
                            </w:rPr>
                            <w:t>INFORMAZIONI PER LA STAMPA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type="#_x0000_t202" style="visibility:visible;position:absolute;margin-left:-269.0pt;margin-top:389.8pt;width:578.0pt;height:37.2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jc w:val="center"/>
                    </w:pPr>
                    <w:r>
                      <w:rPr>
                        <w:rFonts w:ascii="Arial Narrow" w:hAnsi="Arial Narrow"/>
                        <w:outline w:val="0"/>
                        <w:color w:val="1f497d"/>
                        <w:sz w:val="52"/>
                        <w:szCs w:val="52"/>
                        <w:u w:color="1f497d"/>
                        <w:rtl w:val="0"/>
                        <w:lang w:val="it-IT"/>
                        <w14:textFill>
                          <w14:solidFill>
                            <w14:srgbClr w14:val="1F497D"/>
                          </w14:solidFill>
                        </w14:textFill>
                      </w:rPr>
                      <w:t>INFORMAZIONI PER LA STAMPA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2590800</wp:posOffset>
          </wp:positionH>
          <wp:positionV relativeFrom="page">
            <wp:posOffset>160020</wp:posOffset>
          </wp:positionV>
          <wp:extent cx="2363470" cy="1333500"/>
          <wp:effectExtent l="0" t="0" r="0" b="0"/>
          <wp:wrapNone/>
          <wp:docPr id="1073741826" name="officeArt object" descr="Immagin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28" descr="Immagine 2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3470" cy="1333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header"/>
      <w:jc w:val="center"/>
      <w:rPr>
        <w:outline w:val="0"/>
        <w:color w:val="1e3b87"/>
        <w:spacing w:val="10"/>
        <w:sz w:val="28"/>
        <w:szCs w:val="28"/>
        <w:u w:color="1e3b87"/>
        <w14:textFill>
          <w14:solidFill>
            <w14:srgbClr w14:val="1E3B87"/>
          </w14:solidFill>
        </w14:textFill>
      </w:rPr>
    </w:pPr>
  </w:p>
  <w:p>
    <w:pPr>
      <w:pStyle w:val="header"/>
      <w:jc w:val="center"/>
      <w:rPr>
        <w:outline w:val="0"/>
        <w:color w:val="1e3b87"/>
        <w:spacing w:val="10"/>
        <w:sz w:val="28"/>
        <w:szCs w:val="28"/>
        <w:u w:color="1e3b87"/>
        <w14:textFill>
          <w14:solidFill>
            <w14:srgbClr w14:val="1E3B87"/>
          </w14:solidFill>
        </w14:textFill>
      </w:rPr>
    </w:pPr>
  </w:p>
  <w:p>
    <w:pPr>
      <w:pStyle w:val="header"/>
      <w:jc w:val="center"/>
      <w:rPr>
        <w:outline w:val="0"/>
        <w:color w:val="1e3b87"/>
        <w:spacing w:val="10"/>
        <w:sz w:val="28"/>
        <w:szCs w:val="28"/>
        <w:u w:color="1e3b87"/>
        <w14:textFill>
          <w14:solidFill>
            <w14:srgbClr w14:val="1E3B87"/>
          </w14:solidFill>
        </w14:textFill>
      </w:rPr>
    </w:pPr>
  </w:p>
  <w:p>
    <w:pPr>
      <w:pStyle w:val="header"/>
      <w:jc w:val="center"/>
      <w:rPr>
        <w:outline w:val="0"/>
        <w:color w:val="1e3b87"/>
        <w:spacing w:val="10"/>
        <w:sz w:val="28"/>
        <w:szCs w:val="28"/>
        <w:u w:color="1e3b87"/>
        <w14:textFill>
          <w14:solidFill>
            <w14:srgbClr w14:val="1E3B87"/>
          </w14:solidFill>
        </w14:textFill>
      </w:rPr>
    </w:pPr>
  </w:p>
  <w:p>
    <w:pPr>
      <w:pStyle w:val="header"/>
      <w:jc w:val="center"/>
      <w:rPr>
        <w:outline w:val="0"/>
        <w:color w:val="1e3b87"/>
        <w:spacing w:val="10"/>
        <w:sz w:val="28"/>
        <w:szCs w:val="28"/>
        <w:u w:color="1e3b87"/>
        <w14:textFill>
          <w14:solidFill>
            <w14:srgbClr w14:val="1E3B87"/>
          </w14:solidFill>
        </w14:textFill>
      </w:rPr>
    </w:pPr>
  </w:p>
  <w:p>
    <w:pPr>
      <w:pStyle w:val="header"/>
      <w:jc w:val="center"/>
      <w:rPr>
        <w:outline w:val="0"/>
        <w:color w:val="1e3b87"/>
        <w:spacing w:val="10"/>
        <w:sz w:val="28"/>
        <w:szCs w:val="28"/>
        <w:u w:color="1e3b87"/>
        <w14:textFill>
          <w14:solidFill>
            <w14:srgbClr w14:val="1E3B87"/>
          </w14:solidFill>
        </w14:textFill>
      </w:rPr>
    </w:pPr>
  </w:p>
  <w:p>
    <w:pPr>
      <w:pStyle w:val="header"/>
      <w:jc w:val="center"/>
      <w:rPr>
        <w:outline w:val="0"/>
        <w:color w:val="1e3b87"/>
        <w:spacing w:val="10"/>
        <w:sz w:val="28"/>
        <w:szCs w:val="28"/>
        <w:u w:color="1e3b87"/>
        <w14:textFill>
          <w14:solidFill>
            <w14:srgbClr w14:val="1E3B87"/>
          </w14:solidFill>
        </w14:textFill>
      </w:rPr>
    </w:pPr>
    <w:r>
      <w:rPr>
        <w:outline w:val="0"/>
        <w:color w:val="1e3b87"/>
        <w:spacing w:val="10"/>
        <w:sz w:val="28"/>
        <w:szCs w:val="28"/>
        <w:u w:color="1e3b87"/>
        <w:rtl w:val="0"/>
        <w:lang w:val="it-IT"/>
        <w14:textFill>
          <w14:solidFill>
            <w14:srgbClr w14:val="1E3B87"/>
          </w14:solidFill>
        </w14:textFill>
      </w:rPr>
      <w:t xml:space="preserve">3 - 4 </w:t>
    </w:r>
    <w:r>
      <w:rPr>
        <w:outline w:val="0"/>
        <w:color w:val="1e3b87"/>
        <w:spacing w:val="10"/>
        <w:sz w:val="28"/>
        <w:szCs w:val="28"/>
        <w:u w:color="1e3b87"/>
        <w:rtl w:val="0"/>
        <w:lang w:val="it-IT"/>
        <w14:textFill>
          <w14:solidFill>
            <w14:srgbClr w14:val="1E3B87"/>
          </w14:solidFill>
        </w14:textFill>
      </w:rPr>
      <w:t xml:space="preserve">– </w:t>
    </w:r>
    <w:r>
      <w:rPr>
        <w:outline w:val="0"/>
        <w:color w:val="1e3b87"/>
        <w:spacing w:val="10"/>
        <w:sz w:val="28"/>
        <w:szCs w:val="28"/>
        <w:u w:color="1e3b87"/>
        <w:rtl w:val="0"/>
        <w:lang w:val="it-IT"/>
        <w14:textFill>
          <w14:solidFill>
            <w14:srgbClr w14:val="1E3B87"/>
          </w14:solidFill>
        </w14:textFill>
      </w:rPr>
      <w:t>5 maggio 2022</w:t>
    </w:r>
  </w:p>
  <w:p>
    <w:pPr>
      <w:pStyle w:val="header"/>
      <w:jc w:val="center"/>
    </w:pPr>
    <w:r>
      <w:rPr>
        <w:outline w:val="0"/>
        <w:color w:val="e7da12"/>
        <w:spacing w:val="10"/>
        <w:sz w:val="28"/>
        <w:szCs w:val="28"/>
        <w:u w:color="e7da12"/>
        <w:rtl w:val="0"/>
        <w:lang w:val="it-IT"/>
        <w14:textFill>
          <w14:solidFill>
            <w14:srgbClr w14:val="E7DA12"/>
          </w14:solidFill>
        </w14:textFill>
      </w:rPr>
      <w:t xml:space="preserve">www.ngmobility.it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